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20B5" w14:textId="5FA5478F" w:rsidR="00E6453C" w:rsidRDefault="00E6453C" w:rsidP="00E6453C">
      <w:pPr>
        <w:pStyle w:val="Title"/>
      </w:pPr>
      <w:r w:rsidRPr="00E6453C">
        <w:t>ALRTA Feedback: AAWS Livestock and Production Chapter</w:t>
      </w:r>
    </w:p>
    <w:p w14:paraId="17683A62" w14:textId="5796C1B5" w:rsidR="00001BC4" w:rsidRDefault="00001BC4" w:rsidP="00001BC4">
      <w:pPr>
        <w:pStyle w:val="Heading1"/>
      </w:pPr>
      <w:r w:rsidRPr="00001BC4">
        <w:t>Context and ALRTA interest</w:t>
      </w:r>
    </w:p>
    <w:p w14:paraId="07D64BEE" w14:textId="77777777" w:rsidR="005310A6" w:rsidRDefault="00001BC4" w:rsidP="00001BC4">
      <w:r w:rsidRPr="00001BC4">
        <w:t xml:space="preserve">The Australian Livestock and Rural Transporters Association (ALRTA) </w:t>
      </w:r>
      <w:proofErr w:type="gramStart"/>
      <w:r w:rsidRPr="00001BC4">
        <w:t>welcomes</w:t>
      </w:r>
      <w:proofErr w:type="gramEnd"/>
      <w:r w:rsidRPr="00001BC4">
        <w:t xml:space="preserve"> the opportunity to provide targeted feedback on the draft AAWS Livestock and Production Chapter.</w:t>
      </w:r>
    </w:p>
    <w:p w14:paraId="70C6F9C2" w14:textId="77777777" w:rsidR="00726C53" w:rsidRDefault="00001BC4" w:rsidP="00001BC4">
      <w:r w:rsidRPr="00001BC4">
        <w:t>ALRTA is the national peak body representing livestock and rural transport operators across Australia. Livestock transport is a critical welfare control point in the supply chain, including fitness for travel decisions, handling, journey planning, heat management and contingency arrangements.</w:t>
      </w:r>
    </w:p>
    <w:p w14:paraId="3E061CD0" w14:textId="187C39ED" w:rsidR="00001BC4" w:rsidRDefault="004464BE" w:rsidP="00001BC4">
      <w:r w:rsidRPr="004464BE">
        <w:t>Livestock transport is already governed by nationally agreed welfare requirements (the Land Transport Standards), so clarity in this chapter is important to avoid unintended downstream expectations beyond existing frameworks.</w:t>
      </w:r>
    </w:p>
    <w:p w14:paraId="41B137C1" w14:textId="04013976" w:rsidR="001E50AB" w:rsidRDefault="001E50AB" w:rsidP="001E50AB">
      <w:pPr>
        <w:pStyle w:val="Heading1"/>
      </w:pPr>
      <w:r>
        <w:t>Purpose and scope</w:t>
      </w:r>
    </w:p>
    <w:p w14:paraId="4990091E" w14:textId="77777777" w:rsidR="00627B8E" w:rsidRDefault="001E50AB" w:rsidP="001E50AB">
      <w:r>
        <w:t>ALRTA’s feedback is limited to critical issues/omissions, factual accuracy and potential unintended consequences for livestock transport operations.</w:t>
      </w:r>
    </w:p>
    <w:p w14:paraId="46B4CD77" w14:textId="2154B427" w:rsidR="001E50AB" w:rsidRDefault="00844A9E" w:rsidP="001E50AB">
      <w:r w:rsidRPr="00844A9E">
        <w:t xml:space="preserve">ALRTA supports the consultation intent that this chapter identify </w:t>
      </w:r>
      <w:r w:rsidRPr="00D63034">
        <w:t>opportunities</w:t>
      </w:r>
      <w:r w:rsidRPr="00844A9E">
        <w:t xml:space="preserve"> at a high level, rather than embed prescriptive </w:t>
      </w:r>
      <w:r w:rsidRPr="00D63034">
        <w:t>actions</w:t>
      </w:r>
      <w:r w:rsidRPr="00844A9E">
        <w:t xml:space="preserve"> or create new regulatory requirements.</w:t>
      </w:r>
    </w:p>
    <w:p w14:paraId="213B2CB8" w14:textId="77777777" w:rsidR="001E50AB" w:rsidRDefault="001E50AB" w:rsidP="001E50AB">
      <w:pPr>
        <w:pStyle w:val="Heading1"/>
      </w:pPr>
      <w:r>
        <w:t>Summary of Key Feedback</w:t>
      </w:r>
    </w:p>
    <w:tbl>
      <w:tblPr>
        <w:tblStyle w:val="TableGrid"/>
        <w:tblW w:w="0" w:type="auto"/>
        <w:tblLook w:val="04A0" w:firstRow="1" w:lastRow="0" w:firstColumn="1" w:lastColumn="0" w:noHBand="0" w:noVBand="1"/>
      </w:tblPr>
      <w:tblGrid>
        <w:gridCol w:w="4508"/>
        <w:gridCol w:w="4508"/>
      </w:tblGrid>
      <w:tr w:rsidR="00D206D8" w14:paraId="5EF48099" w14:textId="77777777">
        <w:tc>
          <w:tcPr>
            <w:tcW w:w="4513" w:type="dxa"/>
            <w:shd w:val="clear" w:color="auto" w:fill="E6E6E6"/>
            <w:tcMar>
              <w:top w:w="80" w:type="dxa"/>
              <w:left w:w="80" w:type="dxa"/>
              <w:bottom w:w="80" w:type="dxa"/>
              <w:right w:w="80" w:type="dxa"/>
            </w:tcMar>
          </w:tcPr>
          <w:p w14:paraId="762F4431" w14:textId="650E1E62" w:rsidR="00D206D8" w:rsidRDefault="00905FE8">
            <w:r>
              <w:rPr>
                <w:b/>
                <w:sz w:val="20"/>
              </w:rPr>
              <w:t>Priority</w:t>
            </w:r>
            <w:r w:rsidR="008C0520">
              <w:rPr>
                <w:b/>
                <w:sz w:val="20"/>
              </w:rPr>
              <w:t xml:space="preserve"> </w:t>
            </w:r>
            <w:r>
              <w:rPr>
                <w:b/>
                <w:sz w:val="20"/>
              </w:rPr>
              <w:t>C</w:t>
            </w:r>
            <w:r w:rsidR="008C0520">
              <w:rPr>
                <w:b/>
                <w:sz w:val="20"/>
              </w:rPr>
              <w:t>hange</w:t>
            </w:r>
            <w:r>
              <w:rPr>
                <w:b/>
                <w:sz w:val="20"/>
              </w:rPr>
              <w:t>s</w:t>
            </w:r>
          </w:p>
        </w:tc>
        <w:tc>
          <w:tcPr>
            <w:tcW w:w="4513" w:type="dxa"/>
            <w:shd w:val="clear" w:color="auto" w:fill="E6E6E6"/>
            <w:tcMar>
              <w:top w:w="80" w:type="dxa"/>
              <w:left w:w="80" w:type="dxa"/>
              <w:bottom w:w="80" w:type="dxa"/>
              <w:right w:w="80" w:type="dxa"/>
            </w:tcMar>
          </w:tcPr>
          <w:p w14:paraId="0E57F23B" w14:textId="2111466B" w:rsidR="00D206D8" w:rsidRDefault="008C0520">
            <w:r>
              <w:rPr>
                <w:b/>
                <w:sz w:val="20"/>
              </w:rPr>
              <w:t xml:space="preserve">Why this change </w:t>
            </w:r>
            <w:r w:rsidR="00585FD6">
              <w:rPr>
                <w:b/>
                <w:sz w:val="20"/>
              </w:rPr>
              <w:t xml:space="preserve">is needed </w:t>
            </w:r>
            <w:r>
              <w:rPr>
                <w:b/>
                <w:sz w:val="20"/>
              </w:rPr>
              <w:t>(risk / unintended consequence)</w:t>
            </w:r>
          </w:p>
        </w:tc>
      </w:tr>
      <w:tr w:rsidR="00D206D8" w14:paraId="76D56BC8" w14:textId="77777777">
        <w:tc>
          <w:tcPr>
            <w:tcW w:w="4513" w:type="dxa"/>
            <w:tcMar>
              <w:top w:w="80" w:type="dxa"/>
              <w:left w:w="80" w:type="dxa"/>
              <w:bottom w:w="80" w:type="dxa"/>
              <w:right w:w="80" w:type="dxa"/>
            </w:tcMar>
          </w:tcPr>
          <w:p w14:paraId="64F64C24" w14:textId="43E4C8CD" w:rsidR="00D206D8" w:rsidRDefault="008166A9">
            <w:r w:rsidRPr="008166A9">
              <w:rPr>
                <w:sz w:val="20"/>
              </w:rPr>
              <w:t>Keep the chapter high-level (strategy intent</w:t>
            </w:r>
            <w:proofErr w:type="gramStart"/>
            <w:r w:rsidRPr="008166A9">
              <w:rPr>
                <w:sz w:val="20"/>
              </w:rPr>
              <w:t>), and</w:t>
            </w:r>
            <w:proofErr w:type="gramEnd"/>
            <w:r w:rsidRPr="008166A9">
              <w:rPr>
                <w:sz w:val="20"/>
              </w:rPr>
              <w:t xml:space="preserve"> avoid wording that could be read as creating new or parallel transport compliance expectations via contracts, procurement or assurance schemes.</w:t>
            </w:r>
          </w:p>
        </w:tc>
        <w:tc>
          <w:tcPr>
            <w:tcW w:w="4513" w:type="dxa"/>
            <w:tcMar>
              <w:top w:w="80" w:type="dxa"/>
              <w:left w:w="80" w:type="dxa"/>
              <w:bottom w:w="80" w:type="dxa"/>
              <w:right w:w="80" w:type="dxa"/>
            </w:tcMar>
          </w:tcPr>
          <w:p w14:paraId="57D3E3C2" w14:textId="7D9B8D27" w:rsidR="00D206D8" w:rsidRDefault="00EF2DF4">
            <w:r w:rsidRPr="00EF2DF4">
              <w:rPr>
                <w:sz w:val="20"/>
              </w:rPr>
              <w:t>Prevents de facto mandatory requirements filtering down supply chains through commercial settings and duplicating existing transport obligations.</w:t>
            </w:r>
          </w:p>
        </w:tc>
      </w:tr>
      <w:tr w:rsidR="00D206D8" w14:paraId="7A64BB0A" w14:textId="77777777">
        <w:tc>
          <w:tcPr>
            <w:tcW w:w="4513" w:type="dxa"/>
            <w:tcMar>
              <w:top w:w="80" w:type="dxa"/>
              <w:left w:w="80" w:type="dxa"/>
              <w:bottom w:w="80" w:type="dxa"/>
              <w:right w:w="80" w:type="dxa"/>
            </w:tcMar>
          </w:tcPr>
          <w:p w14:paraId="7494BD7B" w14:textId="29813945" w:rsidR="00D206D8" w:rsidRDefault="008C0520">
            <w:r>
              <w:rPr>
                <w:sz w:val="20"/>
              </w:rPr>
              <w:t xml:space="preserve">Where transport is referenced, explicitly anchor the text to the Australian Animal Welfare Standards and Guidelines - Land Transport of Livestock (Land Transport Standards) </w:t>
            </w:r>
            <w:r w:rsidR="00EF2DF4" w:rsidRPr="00EF2DF4">
              <w:rPr>
                <w:sz w:val="20"/>
              </w:rPr>
              <w:t>as implemented in state and territory legislation.</w:t>
            </w:r>
          </w:p>
        </w:tc>
        <w:tc>
          <w:tcPr>
            <w:tcW w:w="4513" w:type="dxa"/>
            <w:tcMar>
              <w:top w:w="80" w:type="dxa"/>
              <w:left w:w="80" w:type="dxa"/>
              <w:bottom w:w="80" w:type="dxa"/>
              <w:right w:w="80" w:type="dxa"/>
            </w:tcMar>
          </w:tcPr>
          <w:p w14:paraId="09361232" w14:textId="77777777" w:rsidR="00D206D8" w:rsidRDefault="008C0520">
            <w:r>
              <w:rPr>
                <w:sz w:val="20"/>
              </w:rPr>
              <w:t>Removes ambiguity for broad audiences (including trading partners) and avoids misinterpretation of the transport welfare framework.</w:t>
            </w:r>
          </w:p>
        </w:tc>
      </w:tr>
      <w:tr w:rsidR="00D206D8" w14:paraId="2A8C43ED" w14:textId="77777777">
        <w:tc>
          <w:tcPr>
            <w:tcW w:w="4513" w:type="dxa"/>
            <w:tcMar>
              <w:top w:w="80" w:type="dxa"/>
              <w:left w:w="80" w:type="dxa"/>
              <w:bottom w:w="80" w:type="dxa"/>
              <w:right w:w="80" w:type="dxa"/>
            </w:tcMar>
          </w:tcPr>
          <w:p w14:paraId="0568554A" w14:textId="77777777" w:rsidR="00D206D8" w:rsidRDefault="008C0520">
            <w:r>
              <w:rPr>
                <w:sz w:val="20"/>
              </w:rPr>
              <w:lastRenderedPageBreak/>
              <w:t>Clarify shared, role-specific responsibilities at the consignor/dispatcher - transporter interface, and use the Land Transport Standards 'fit for the intended journey' framing for fitness decisions.</w:t>
            </w:r>
          </w:p>
        </w:tc>
        <w:tc>
          <w:tcPr>
            <w:tcW w:w="4513" w:type="dxa"/>
            <w:tcMar>
              <w:top w:w="80" w:type="dxa"/>
              <w:left w:w="80" w:type="dxa"/>
              <w:bottom w:w="80" w:type="dxa"/>
              <w:right w:w="80" w:type="dxa"/>
            </w:tcMar>
          </w:tcPr>
          <w:p w14:paraId="0E9CA5AB" w14:textId="77777777" w:rsidR="00D206D8" w:rsidRDefault="008C0520">
            <w:r>
              <w:rPr>
                <w:sz w:val="20"/>
              </w:rPr>
              <w:t>Reduces disputes and inappropriate risk transfer at dispatch/loading, and aligns the chapter to established national language.</w:t>
            </w:r>
          </w:p>
        </w:tc>
      </w:tr>
      <w:tr w:rsidR="00D206D8" w14:paraId="58EE48C3" w14:textId="77777777">
        <w:tc>
          <w:tcPr>
            <w:tcW w:w="4513" w:type="dxa"/>
            <w:tcMar>
              <w:top w:w="80" w:type="dxa"/>
              <w:left w:w="80" w:type="dxa"/>
              <w:bottom w:w="80" w:type="dxa"/>
              <w:right w:w="80" w:type="dxa"/>
            </w:tcMar>
          </w:tcPr>
          <w:p w14:paraId="6216946B" w14:textId="77777777" w:rsidR="00D206D8" w:rsidRDefault="008C0520">
            <w:r>
              <w:rPr>
                <w:sz w:val="20"/>
              </w:rPr>
              <w:t>Where risk management expectations intersect with transport, frame them around reasonable practicability and risk management systems (not outcome-based/retrospective expectations).</w:t>
            </w:r>
          </w:p>
        </w:tc>
        <w:tc>
          <w:tcPr>
            <w:tcW w:w="4513" w:type="dxa"/>
            <w:tcMar>
              <w:top w:w="80" w:type="dxa"/>
              <w:left w:w="80" w:type="dxa"/>
              <w:bottom w:w="80" w:type="dxa"/>
              <w:right w:w="80" w:type="dxa"/>
            </w:tcMar>
          </w:tcPr>
          <w:p w14:paraId="1748A4FD" w14:textId="77777777" w:rsidR="00D206D8" w:rsidRDefault="008C0520">
            <w:r>
              <w:rPr>
                <w:sz w:val="20"/>
              </w:rPr>
              <w:t>Avoids language being used after incidents to imply absolute risk elimination or new liability expectations beyond existing frameworks.</w:t>
            </w:r>
          </w:p>
        </w:tc>
      </w:tr>
      <w:tr w:rsidR="00D206D8" w14:paraId="070449CD" w14:textId="77777777">
        <w:tc>
          <w:tcPr>
            <w:tcW w:w="4513" w:type="dxa"/>
            <w:tcMar>
              <w:top w:w="80" w:type="dxa"/>
              <w:left w:w="80" w:type="dxa"/>
              <w:bottom w:w="80" w:type="dxa"/>
              <w:right w:w="80" w:type="dxa"/>
            </w:tcMar>
          </w:tcPr>
          <w:p w14:paraId="486A4C49" w14:textId="77777777" w:rsidR="00D206D8" w:rsidRDefault="008C0520">
            <w:r>
              <w:rPr>
                <w:sz w:val="20"/>
              </w:rPr>
              <w:t>Fix drafting/credibility issues (e.g., RDC terminology, placeholder references, duplicated case studies, broken sentences).</w:t>
            </w:r>
          </w:p>
        </w:tc>
        <w:tc>
          <w:tcPr>
            <w:tcW w:w="4513" w:type="dxa"/>
            <w:tcMar>
              <w:top w:w="80" w:type="dxa"/>
              <w:left w:w="80" w:type="dxa"/>
              <w:bottom w:w="80" w:type="dxa"/>
              <w:right w:w="80" w:type="dxa"/>
            </w:tcMar>
          </w:tcPr>
          <w:p w14:paraId="30FD787E" w14:textId="77777777" w:rsidR="00D206D8" w:rsidRDefault="008C0520">
            <w:r>
              <w:rPr>
                <w:sz w:val="20"/>
              </w:rPr>
              <w:t>Improves clarity and credibility for a broad readership; avoids undermining the chapter’s authority.</w:t>
            </w:r>
          </w:p>
        </w:tc>
      </w:tr>
    </w:tbl>
    <w:p w14:paraId="4A8FF0A6" w14:textId="77777777" w:rsidR="001E50AB" w:rsidRDefault="001E50AB" w:rsidP="001E50AB">
      <w:pPr>
        <w:pStyle w:val="Heading1"/>
      </w:pPr>
      <w:r w:rsidRPr="001E50AB">
        <w:t>Proposed drafting amendments</w:t>
      </w:r>
    </w:p>
    <w:p w14:paraId="0F0FEC78" w14:textId="77D55303" w:rsidR="001E50AB" w:rsidRDefault="006C7E15" w:rsidP="001E50AB">
      <w:r w:rsidRPr="006C7E15">
        <w:t>The table below sets out priority drafting amendments to correct factual issues and avoid unintended consequences, while maintaining the chapter’s high-level intent.</w:t>
      </w:r>
    </w:p>
    <w:tbl>
      <w:tblPr>
        <w:tblStyle w:val="TableGrid"/>
        <w:tblW w:w="0" w:type="auto"/>
        <w:tblLook w:val="04A0" w:firstRow="1" w:lastRow="0" w:firstColumn="1" w:lastColumn="0" w:noHBand="0" w:noVBand="1"/>
      </w:tblPr>
      <w:tblGrid>
        <w:gridCol w:w="2256"/>
        <w:gridCol w:w="2723"/>
        <w:gridCol w:w="1388"/>
        <w:gridCol w:w="2649"/>
      </w:tblGrid>
      <w:tr w:rsidR="00D206D8" w14:paraId="4D92FF5C" w14:textId="77777777">
        <w:tc>
          <w:tcPr>
            <w:tcW w:w="3168" w:type="dxa"/>
            <w:shd w:val="clear" w:color="auto" w:fill="E6E6E6"/>
            <w:tcMar>
              <w:top w:w="80" w:type="dxa"/>
              <w:left w:w="80" w:type="dxa"/>
              <w:bottom w:w="80" w:type="dxa"/>
              <w:right w:w="80" w:type="dxa"/>
            </w:tcMar>
          </w:tcPr>
          <w:p w14:paraId="70EF7B1A" w14:textId="77777777" w:rsidR="00D206D8" w:rsidRDefault="008C0520">
            <w:r>
              <w:rPr>
                <w:b/>
                <w:sz w:val="20"/>
              </w:rPr>
              <w:t>Chapter location / current text</w:t>
            </w:r>
          </w:p>
        </w:tc>
        <w:tc>
          <w:tcPr>
            <w:tcW w:w="3456" w:type="dxa"/>
            <w:shd w:val="clear" w:color="auto" w:fill="E6E6E6"/>
            <w:tcMar>
              <w:top w:w="80" w:type="dxa"/>
              <w:left w:w="80" w:type="dxa"/>
              <w:bottom w:w="80" w:type="dxa"/>
              <w:right w:w="80" w:type="dxa"/>
            </w:tcMar>
          </w:tcPr>
          <w:p w14:paraId="2E528789" w14:textId="77777777" w:rsidR="00D206D8" w:rsidRDefault="008C0520">
            <w:r>
              <w:rPr>
                <w:b/>
                <w:sz w:val="20"/>
              </w:rPr>
              <w:t>Issue / risk</w:t>
            </w:r>
          </w:p>
        </w:tc>
        <w:tc>
          <w:tcPr>
            <w:tcW w:w="1152" w:type="dxa"/>
            <w:shd w:val="clear" w:color="auto" w:fill="E6E6E6"/>
            <w:tcMar>
              <w:top w:w="80" w:type="dxa"/>
              <w:left w:w="80" w:type="dxa"/>
              <w:bottom w:w="80" w:type="dxa"/>
              <w:right w:w="80" w:type="dxa"/>
            </w:tcMar>
          </w:tcPr>
          <w:p w14:paraId="2F266C9C" w14:textId="77777777" w:rsidR="00D206D8" w:rsidRDefault="008C0520">
            <w:r>
              <w:rPr>
                <w:b/>
                <w:sz w:val="20"/>
              </w:rPr>
              <w:t>Change</w:t>
            </w:r>
          </w:p>
        </w:tc>
        <w:tc>
          <w:tcPr>
            <w:tcW w:w="3744" w:type="dxa"/>
            <w:shd w:val="clear" w:color="auto" w:fill="E6E6E6"/>
            <w:tcMar>
              <w:top w:w="80" w:type="dxa"/>
              <w:left w:w="80" w:type="dxa"/>
              <w:bottom w:w="80" w:type="dxa"/>
              <w:right w:w="80" w:type="dxa"/>
            </w:tcMar>
          </w:tcPr>
          <w:p w14:paraId="70216E57" w14:textId="77777777" w:rsidR="00D206D8" w:rsidRDefault="008C0520">
            <w:r>
              <w:rPr>
                <w:b/>
                <w:sz w:val="20"/>
              </w:rPr>
              <w:t>Proposed wording</w:t>
            </w:r>
          </w:p>
        </w:tc>
      </w:tr>
      <w:tr w:rsidR="00D206D8" w14:paraId="643C1192" w14:textId="77777777">
        <w:tc>
          <w:tcPr>
            <w:tcW w:w="2256" w:type="dxa"/>
            <w:tcMar>
              <w:top w:w="80" w:type="dxa"/>
              <w:left w:w="80" w:type="dxa"/>
              <w:bottom w:w="80" w:type="dxa"/>
              <w:right w:w="80" w:type="dxa"/>
            </w:tcMar>
          </w:tcPr>
          <w:p w14:paraId="1B5B3AB9" w14:textId="77777777" w:rsidR="00D206D8" w:rsidRDefault="008C0520">
            <w:r>
              <w:rPr>
                <w:sz w:val="20"/>
              </w:rPr>
              <w:t>Purpose and scope – exclusions</w:t>
            </w:r>
            <w:r>
              <w:rPr>
                <w:sz w:val="20"/>
              </w:rPr>
              <w:br/>
              <w:t>Current text: “It excludes animals typically used in production systems that are kept as pets or on hobby farms such as poultry…”</w:t>
            </w:r>
          </w:p>
        </w:tc>
        <w:tc>
          <w:tcPr>
            <w:tcW w:w="2256" w:type="dxa"/>
            <w:tcMar>
              <w:top w:w="80" w:type="dxa"/>
              <w:left w:w="80" w:type="dxa"/>
              <w:bottom w:w="80" w:type="dxa"/>
              <w:right w:w="80" w:type="dxa"/>
            </w:tcMar>
          </w:tcPr>
          <w:p w14:paraId="15E89DEE" w14:textId="77777777" w:rsidR="00D206D8" w:rsidRDefault="008C0520">
            <w:r>
              <w:rPr>
                <w:sz w:val="20"/>
              </w:rPr>
              <w:t>Ambiguous: can be read as excluding commercial poultry (and other production species) rather than backyard/pet/hobby contexts.</w:t>
            </w:r>
          </w:p>
        </w:tc>
        <w:tc>
          <w:tcPr>
            <w:tcW w:w="2256" w:type="dxa"/>
            <w:tcMar>
              <w:top w:w="80" w:type="dxa"/>
              <w:left w:w="80" w:type="dxa"/>
              <w:bottom w:w="80" w:type="dxa"/>
              <w:right w:w="80" w:type="dxa"/>
            </w:tcMar>
          </w:tcPr>
          <w:p w14:paraId="17FF7B52" w14:textId="77777777" w:rsidR="00D206D8" w:rsidRDefault="008C0520">
            <w:r>
              <w:rPr>
                <w:sz w:val="20"/>
              </w:rPr>
              <w:t>Replace</w:t>
            </w:r>
          </w:p>
        </w:tc>
        <w:tc>
          <w:tcPr>
            <w:tcW w:w="2256" w:type="dxa"/>
            <w:tcMar>
              <w:top w:w="80" w:type="dxa"/>
              <w:left w:w="80" w:type="dxa"/>
              <w:bottom w:w="80" w:type="dxa"/>
              <w:right w:w="80" w:type="dxa"/>
            </w:tcMar>
          </w:tcPr>
          <w:p w14:paraId="3F2AB3AF" w14:textId="77777777" w:rsidR="00D206D8" w:rsidRDefault="008C0520">
            <w:r>
              <w:rPr>
                <w:sz w:val="20"/>
              </w:rPr>
              <w:t>Replace the exclusions sentence with:</w:t>
            </w:r>
            <w:r>
              <w:rPr>
                <w:sz w:val="20"/>
              </w:rPr>
              <w:br/>
              <w:t>“It excludes animals typically used in production systems when kept as pets or on hobby farms (for example, backyard poultry), animals farmed in aquatic or aquaculture environments (excluding farmed crocodiles), and animals used to support production systems such as working dogs.”</w:t>
            </w:r>
          </w:p>
        </w:tc>
      </w:tr>
      <w:tr w:rsidR="00D206D8" w14:paraId="3995D438" w14:textId="77777777">
        <w:tc>
          <w:tcPr>
            <w:tcW w:w="2256" w:type="dxa"/>
            <w:tcMar>
              <w:top w:w="80" w:type="dxa"/>
              <w:left w:w="80" w:type="dxa"/>
              <w:bottom w:w="80" w:type="dxa"/>
              <w:right w:w="80" w:type="dxa"/>
            </w:tcMar>
          </w:tcPr>
          <w:p w14:paraId="6F7AF570" w14:textId="77777777" w:rsidR="00D206D8" w:rsidRDefault="008C0520">
            <w:r>
              <w:rPr>
                <w:sz w:val="20"/>
              </w:rPr>
              <w:t xml:space="preserve">Roles and responsibilities – Community / Non-government </w:t>
            </w:r>
            <w:proofErr w:type="spellStart"/>
            <w:r>
              <w:rPr>
                <w:sz w:val="20"/>
              </w:rPr>
              <w:t>organisations</w:t>
            </w:r>
            <w:proofErr w:type="spellEnd"/>
            <w:r>
              <w:rPr>
                <w:sz w:val="20"/>
              </w:rPr>
              <w:br/>
              <w:t xml:space="preserve">Current text: “Non-government </w:t>
            </w:r>
            <w:proofErr w:type="spellStart"/>
            <w:r>
              <w:rPr>
                <w:sz w:val="20"/>
              </w:rPr>
              <w:t>organisations</w:t>
            </w:r>
            <w:proofErr w:type="spellEnd"/>
            <w:r>
              <w:rPr>
                <w:sz w:val="20"/>
              </w:rPr>
              <w:t xml:space="preserve">… In some cases, for example the RSPCA, manage </w:t>
            </w:r>
            <w:r>
              <w:rPr>
                <w:sz w:val="20"/>
              </w:rPr>
              <w:lastRenderedPageBreak/>
              <w:t>compliance activities for animal welfare standards and guidelines.”</w:t>
            </w:r>
          </w:p>
        </w:tc>
        <w:tc>
          <w:tcPr>
            <w:tcW w:w="2256" w:type="dxa"/>
            <w:tcMar>
              <w:top w:w="80" w:type="dxa"/>
              <w:left w:w="80" w:type="dxa"/>
              <w:bottom w:w="80" w:type="dxa"/>
              <w:right w:w="80" w:type="dxa"/>
            </w:tcMar>
          </w:tcPr>
          <w:p w14:paraId="5B26BD00" w14:textId="77777777" w:rsidR="00D206D8" w:rsidRDefault="008C0520">
            <w:r>
              <w:rPr>
                <w:sz w:val="20"/>
              </w:rPr>
              <w:lastRenderedPageBreak/>
              <w:t>May be misread as conferring a formal compliance/enforcement role on NGOs across jurisdictions, creating downstream parallel or de facto compliance expectations in supply chains (including transport).</w:t>
            </w:r>
          </w:p>
        </w:tc>
        <w:tc>
          <w:tcPr>
            <w:tcW w:w="2256" w:type="dxa"/>
            <w:tcMar>
              <w:top w:w="80" w:type="dxa"/>
              <w:left w:w="80" w:type="dxa"/>
              <w:bottom w:w="80" w:type="dxa"/>
              <w:right w:w="80" w:type="dxa"/>
            </w:tcMar>
          </w:tcPr>
          <w:p w14:paraId="782D97D1" w14:textId="77777777" w:rsidR="00D206D8" w:rsidRDefault="008C0520">
            <w:r>
              <w:rPr>
                <w:sz w:val="20"/>
              </w:rPr>
              <w:t>Replace</w:t>
            </w:r>
          </w:p>
        </w:tc>
        <w:tc>
          <w:tcPr>
            <w:tcW w:w="2256" w:type="dxa"/>
            <w:tcMar>
              <w:top w:w="80" w:type="dxa"/>
              <w:left w:w="80" w:type="dxa"/>
              <w:bottom w:w="80" w:type="dxa"/>
              <w:right w:w="80" w:type="dxa"/>
            </w:tcMar>
          </w:tcPr>
          <w:p w14:paraId="08261F92" w14:textId="77777777" w:rsidR="00D206D8" w:rsidRDefault="008C0520">
            <w:r>
              <w:rPr>
                <w:sz w:val="20"/>
              </w:rPr>
              <w:t>Replace the sentence with:</w:t>
            </w:r>
            <w:r>
              <w:rPr>
                <w:sz w:val="20"/>
              </w:rPr>
              <w:br/>
              <w:t xml:space="preserve">“Animal welfare compliance and enforcement are undertaken under applicable legislation by </w:t>
            </w:r>
            <w:proofErr w:type="spellStart"/>
            <w:r>
              <w:rPr>
                <w:sz w:val="20"/>
              </w:rPr>
              <w:t>authorised</w:t>
            </w:r>
            <w:proofErr w:type="spellEnd"/>
            <w:r>
              <w:rPr>
                <w:sz w:val="20"/>
              </w:rPr>
              <w:t xml:space="preserve"> regulators/inspectors (including jurisdiction-specific arrangements). Non-government </w:t>
            </w:r>
            <w:proofErr w:type="spellStart"/>
            <w:r>
              <w:rPr>
                <w:sz w:val="20"/>
              </w:rPr>
              <w:t>organisations</w:t>
            </w:r>
            <w:proofErr w:type="spellEnd"/>
            <w:r>
              <w:rPr>
                <w:sz w:val="20"/>
              </w:rPr>
              <w:t xml:space="preserve"> </w:t>
            </w:r>
            <w:r>
              <w:rPr>
                <w:sz w:val="20"/>
              </w:rPr>
              <w:lastRenderedPageBreak/>
              <w:t>contribute through advocacy, education and research, and some may operate voluntary assurance and certification programs.”</w:t>
            </w:r>
          </w:p>
        </w:tc>
      </w:tr>
      <w:tr w:rsidR="00D206D8" w14:paraId="457DEA53" w14:textId="77777777">
        <w:tc>
          <w:tcPr>
            <w:tcW w:w="2256" w:type="dxa"/>
            <w:tcMar>
              <w:top w:w="80" w:type="dxa"/>
              <w:left w:w="80" w:type="dxa"/>
              <w:bottom w:w="80" w:type="dxa"/>
              <w:right w:w="80" w:type="dxa"/>
            </w:tcMar>
          </w:tcPr>
          <w:p w14:paraId="43FB3A51" w14:textId="77777777" w:rsidR="00D206D8" w:rsidRDefault="008C0520">
            <w:r>
              <w:rPr>
                <w:sz w:val="20"/>
              </w:rPr>
              <w:lastRenderedPageBreak/>
              <w:t>Roles and responsibilities – Retailers</w:t>
            </w:r>
            <w:r>
              <w:rPr>
                <w:sz w:val="20"/>
              </w:rPr>
              <w:br/>
              <w:t>Current text: “set and enforce higher standards through corporate policies.”</w:t>
            </w:r>
          </w:p>
        </w:tc>
        <w:tc>
          <w:tcPr>
            <w:tcW w:w="2256" w:type="dxa"/>
            <w:tcMar>
              <w:top w:w="80" w:type="dxa"/>
              <w:left w:w="80" w:type="dxa"/>
              <w:bottom w:w="80" w:type="dxa"/>
              <w:right w:w="80" w:type="dxa"/>
            </w:tcMar>
          </w:tcPr>
          <w:p w14:paraId="17F90454" w14:textId="77777777" w:rsidR="00D206D8" w:rsidRDefault="008C0520">
            <w:r>
              <w:rPr>
                <w:sz w:val="20"/>
              </w:rPr>
              <w:t xml:space="preserve">Without a guardrail, can </w:t>
            </w:r>
            <w:proofErr w:type="spellStart"/>
            <w:r>
              <w:rPr>
                <w:sz w:val="20"/>
              </w:rPr>
              <w:t>legitimise</w:t>
            </w:r>
            <w:proofErr w:type="spellEnd"/>
            <w:r>
              <w:rPr>
                <w:sz w:val="20"/>
              </w:rPr>
              <w:t xml:space="preserve"> unilateral ‘higher standard’ requirements that flow to transport operators via contracts/QA, shifting responsibility or creating duplicate obligations.</w:t>
            </w:r>
          </w:p>
        </w:tc>
        <w:tc>
          <w:tcPr>
            <w:tcW w:w="2256" w:type="dxa"/>
            <w:tcMar>
              <w:top w:w="80" w:type="dxa"/>
              <w:left w:w="80" w:type="dxa"/>
              <w:bottom w:w="80" w:type="dxa"/>
              <w:right w:w="80" w:type="dxa"/>
            </w:tcMar>
          </w:tcPr>
          <w:p w14:paraId="4727C842" w14:textId="77777777" w:rsidR="00D206D8" w:rsidRDefault="008C0520">
            <w:r>
              <w:rPr>
                <w:sz w:val="20"/>
              </w:rPr>
              <w:t>Insert</w:t>
            </w:r>
          </w:p>
        </w:tc>
        <w:tc>
          <w:tcPr>
            <w:tcW w:w="2256" w:type="dxa"/>
            <w:tcMar>
              <w:top w:w="80" w:type="dxa"/>
              <w:left w:w="80" w:type="dxa"/>
              <w:bottom w:w="80" w:type="dxa"/>
              <w:right w:w="80" w:type="dxa"/>
            </w:tcMar>
          </w:tcPr>
          <w:p w14:paraId="5C3A593A" w14:textId="77777777" w:rsidR="00D206D8" w:rsidRDefault="008C0520">
            <w:r>
              <w:rPr>
                <w:sz w:val="20"/>
              </w:rPr>
              <w:t>Insert immediately after the retailers sentence:</w:t>
            </w:r>
            <w:r>
              <w:rPr>
                <w:sz w:val="20"/>
              </w:rPr>
              <w:br/>
              <w:t>“Where corporate policies, retailer requirements or private assurance schemes affect livestock transport, they should be developed in consultation with relevant supply chain participants, align with nationally agreed welfare standards (including the Land Transport Standards), and be implemented with clear role allocation and shared accountability. They should avoid duplicating existing requirements or creating de facto additional compliance obligations for transport operators.”</w:t>
            </w:r>
          </w:p>
        </w:tc>
      </w:tr>
      <w:tr w:rsidR="00D206D8" w14:paraId="4C37AFB5" w14:textId="77777777">
        <w:tc>
          <w:tcPr>
            <w:tcW w:w="2256" w:type="dxa"/>
            <w:tcMar>
              <w:top w:w="80" w:type="dxa"/>
              <w:left w:w="80" w:type="dxa"/>
              <w:bottom w:w="80" w:type="dxa"/>
              <w:right w:w="80" w:type="dxa"/>
            </w:tcMar>
          </w:tcPr>
          <w:p w14:paraId="0A934D58" w14:textId="77777777" w:rsidR="00D206D8" w:rsidRDefault="008C0520">
            <w:r>
              <w:rPr>
                <w:sz w:val="20"/>
              </w:rPr>
              <w:t>Roles and responsibilities – Industry bodies</w:t>
            </w:r>
            <w:r>
              <w:rPr>
                <w:sz w:val="20"/>
              </w:rPr>
              <w:br/>
              <w:t>Current text: “best practice guidelines… as well as certification and quality assurance systems.”</w:t>
            </w:r>
          </w:p>
        </w:tc>
        <w:tc>
          <w:tcPr>
            <w:tcW w:w="2256" w:type="dxa"/>
            <w:tcMar>
              <w:top w:w="80" w:type="dxa"/>
              <w:left w:w="80" w:type="dxa"/>
              <w:bottom w:w="80" w:type="dxa"/>
              <w:right w:w="80" w:type="dxa"/>
            </w:tcMar>
          </w:tcPr>
          <w:p w14:paraId="500ADE9E" w14:textId="77777777" w:rsidR="00D206D8" w:rsidRDefault="008C0520">
            <w:r>
              <w:rPr>
                <w:sz w:val="20"/>
              </w:rPr>
              <w:t>Risk that voluntary QA/certification becomes de facto mandatory for transport operators (especially SMEs) via procurement; can increase documentation burden without shared accountability.</w:t>
            </w:r>
          </w:p>
        </w:tc>
        <w:tc>
          <w:tcPr>
            <w:tcW w:w="2256" w:type="dxa"/>
            <w:tcMar>
              <w:top w:w="80" w:type="dxa"/>
              <w:left w:w="80" w:type="dxa"/>
              <w:bottom w:w="80" w:type="dxa"/>
              <w:right w:w="80" w:type="dxa"/>
            </w:tcMar>
          </w:tcPr>
          <w:p w14:paraId="4C0B2F56" w14:textId="77777777" w:rsidR="00D206D8" w:rsidRDefault="008C0520">
            <w:r>
              <w:rPr>
                <w:sz w:val="20"/>
              </w:rPr>
              <w:t>Insert</w:t>
            </w:r>
          </w:p>
        </w:tc>
        <w:tc>
          <w:tcPr>
            <w:tcW w:w="2256" w:type="dxa"/>
            <w:tcMar>
              <w:top w:w="80" w:type="dxa"/>
              <w:left w:w="80" w:type="dxa"/>
              <w:bottom w:w="80" w:type="dxa"/>
              <w:right w:w="80" w:type="dxa"/>
            </w:tcMar>
          </w:tcPr>
          <w:p w14:paraId="6423CB36" w14:textId="6DC42D8C" w:rsidR="00D206D8" w:rsidRDefault="008C0520">
            <w:r>
              <w:rPr>
                <w:sz w:val="20"/>
              </w:rPr>
              <w:t>Insert immediately after the QA/certification sentence:</w:t>
            </w:r>
            <w:r>
              <w:rPr>
                <w:sz w:val="20"/>
              </w:rPr>
              <w:br/>
              <w:t xml:space="preserve">“Where certification and quality assurance schemes interact with livestock transport, they should remain voluntary, proportionate and scalable (including for SMEs), and </w:t>
            </w:r>
            <w:r w:rsidR="001269B6" w:rsidRPr="001269B6">
              <w:rPr>
                <w:sz w:val="20"/>
              </w:rPr>
              <w:t>complement—not duplicate—requirements</w:t>
            </w:r>
            <w:r>
              <w:rPr>
                <w:sz w:val="20"/>
              </w:rPr>
              <w:t xml:space="preserve"> under the Land Transport Standards. They should avoid creating de facto additional documentation or compliance obligations for transport operators, with shared accountability across relevant parties.”</w:t>
            </w:r>
          </w:p>
        </w:tc>
      </w:tr>
      <w:tr w:rsidR="00D206D8" w14:paraId="230D6000" w14:textId="77777777">
        <w:tc>
          <w:tcPr>
            <w:tcW w:w="2256" w:type="dxa"/>
            <w:tcMar>
              <w:top w:w="80" w:type="dxa"/>
              <w:left w:w="80" w:type="dxa"/>
              <w:bottom w:w="80" w:type="dxa"/>
              <w:right w:w="80" w:type="dxa"/>
            </w:tcMar>
          </w:tcPr>
          <w:p w14:paraId="0F5C8B79" w14:textId="77777777" w:rsidR="00D206D8" w:rsidRDefault="008C0520">
            <w:r>
              <w:rPr>
                <w:sz w:val="20"/>
              </w:rPr>
              <w:lastRenderedPageBreak/>
              <w:t>Roles and responsibilities – Industry participants</w:t>
            </w:r>
            <w:r>
              <w:rPr>
                <w:sz w:val="20"/>
              </w:rPr>
              <w:br/>
              <w:t>Current text includes: “…transport operators” complying with national welfare standards and guidelines.</w:t>
            </w:r>
          </w:p>
        </w:tc>
        <w:tc>
          <w:tcPr>
            <w:tcW w:w="2256" w:type="dxa"/>
            <w:tcMar>
              <w:top w:w="80" w:type="dxa"/>
              <w:left w:w="80" w:type="dxa"/>
              <w:bottom w:w="80" w:type="dxa"/>
              <w:right w:w="80" w:type="dxa"/>
            </w:tcMar>
          </w:tcPr>
          <w:p w14:paraId="6C5F56D4" w14:textId="77777777" w:rsidR="00D206D8" w:rsidRDefault="008C0520">
            <w:r>
              <w:rPr>
                <w:sz w:val="20"/>
              </w:rPr>
              <w:t>Transport is referenced but the governing transport welfare framework is not explicitly identified, increasing the risk of misinterpretation by broad audiences (including trading partners).</w:t>
            </w:r>
          </w:p>
        </w:tc>
        <w:tc>
          <w:tcPr>
            <w:tcW w:w="2256" w:type="dxa"/>
            <w:tcMar>
              <w:top w:w="80" w:type="dxa"/>
              <w:left w:w="80" w:type="dxa"/>
              <w:bottom w:w="80" w:type="dxa"/>
              <w:right w:w="80" w:type="dxa"/>
            </w:tcMar>
          </w:tcPr>
          <w:p w14:paraId="2092F3DC" w14:textId="77777777" w:rsidR="00D206D8" w:rsidRDefault="008C0520">
            <w:r>
              <w:rPr>
                <w:sz w:val="20"/>
              </w:rPr>
              <w:t>Insert</w:t>
            </w:r>
          </w:p>
        </w:tc>
        <w:tc>
          <w:tcPr>
            <w:tcW w:w="2256" w:type="dxa"/>
            <w:tcMar>
              <w:top w:w="80" w:type="dxa"/>
              <w:left w:w="80" w:type="dxa"/>
              <w:bottom w:w="80" w:type="dxa"/>
              <w:right w:w="80" w:type="dxa"/>
            </w:tcMar>
          </w:tcPr>
          <w:p w14:paraId="40A207AD" w14:textId="77777777" w:rsidR="00D206D8" w:rsidRDefault="008C0520">
            <w:r>
              <w:rPr>
                <w:sz w:val="20"/>
              </w:rPr>
              <w:t>Add a clause at the end of the paragraph:</w:t>
            </w:r>
            <w:r>
              <w:rPr>
                <w:sz w:val="20"/>
              </w:rPr>
              <w:br/>
              <w:t>“For livestock transport, welfare requirements are set out in the Australian Animal Welfare Standards and Guidelines – Land Transport of Livestock (Land Transport Standards), with responsibilities at dispatch/loading points being shared and role-specific.”</w:t>
            </w:r>
          </w:p>
        </w:tc>
      </w:tr>
      <w:tr w:rsidR="00D206D8" w14:paraId="5299C039" w14:textId="77777777">
        <w:tc>
          <w:tcPr>
            <w:tcW w:w="2256" w:type="dxa"/>
            <w:tcMar>
              <w:top w:w="80" w:type="dxa"/>
              <w:left w:w="80" w:type="dxa"/>
              <w:bottom w:w="80" w:type="dxa"/>
              <w:right w:w="80" w:type="dxa"/>
            </w:tcMar>
          </w:tcPr>
          <w:p w14:paraId="5328A5E8" w14:textId="77777777" w:rsidR="00D206D8" w:rsidRDefault="008C0520">
            <w:r>
              <w:rPr>
                <w:sz w:val="20"/>
              </w:rPr>
              <w:t>Roles and responsibilities – shared responsibilities / risk framing</w:t>
            </w:r>
            <w:r>
              <w:rPr>
                <w:sz w:val="20"/>
              </w:rPr>
              <w:br/>
              <w:t>Apply where transport-related risk management expectations are described at a high level.</w:t>
            </w:r>
          </w:p>
        </w:tc>
        <w:tc>
          <w:tcPr>
            <w:tcW w:w="2256" w:type="dxa"/>
            <w:tcMar>
              <w:top w:w="80" w:type="dxa"/>
              <w:left w:w="80" w:type="dxa"/>
              <w:bottom w:w="80" w:type="dxa"/>
              <w:right w:w="80" w:type="dxa"/>
            </w:tcMar>
          </w:tcPr>
          <w:p w14:paraId="5971A12D" w14:textId="77777777" w:rsidR="00D206D8" w:rsidRDefault="008C0520">
            <w:r>
              <w:rPr>
                <w:sz w:val="20"/>
              </w:rPr>
              <w:t>Broad risk management language can be interpreted as outcome-based or retrospective in transport contexts, implying new liability expectations beyond existing frameworks.</w:t>
            </w:r>
          </w:p>
        </w:tc>
        <w:tc>
          <w:tcPr>
            <w:tcW w:w="2256" w:type="dxa"/>
            <w:tcMar>
              <w:top w:w="80" w:type="dxa"/>
              <w:left w:w="80" w:type="dxa"/>
              <w:bottom w:w="80" w:type="dxa"/>
              <w:right w:w="80" w:type="dxa"/>
            </w:tcMar>
          </w:tcPr>
          <w:p w14:paraId="77412AC3" w14:textId="77777777" w:rsidR="00D206D8" w:rsidRDefault="008C0520">
            <w:r>
              <w:rPr>
                <w:sz w:val="20"/>
              </w:rPr>
              <w:t>Insert</w:t>
            </w:r>
          </w:p>
        </w:tc>
        <w:tc>
          <w:tcPr>
            <w:tcW w:w="2256" w:type="dxa"/>
            <w:tcMar>
              <w:top w:w="80" w:type="dxa"/>
              <w:left w:w="80" w:type="dxa"/>
              <w:bottom w:w="80" w:type="dxa"/>
              <w:right w:w="80" w:type="dxa"/>
            </w:tcMar>
          </w:tcPr>
          <w:p w14:paraId="1A127EDE" w14:textId="77777777" w:rsidR="00D206D8" w:rsidRDefault="008C0520">
            <w:r>
              <w:rPr>
                <w:sz w:val="20"/>
              </w:rPr>
              <w:t>Insert one sentence in the shared responsibilities discussion (after the paragraph describing stakeholder responsibilities):</w:t>
            </w:r>
            <w:r>
              <w:rPr>
                <w:sz w:val="20"/>
              </w:rPr>
              <w:br/>
              <w:t>“Where animal welfare risk management is referenced in relation to transport, expectations should be framed around reasonable practicability and robust risk management systems consistent with existing legislation and the Land Transport Standards (not outcome-based obligations).”</w:t>
            </w:r>
          </w:p>
        </w:tc>
      </w:tr>
      <w:tr w:rsidR="00D206D8" w14:paraId="708633E6" w14:textId="77777777">
        <w:tc>
          <w:tcPr>
            <w:tcW w:w="2256" w:type="dxa"/>
            <w:tcMar>
              <w:top w:w="80" w:type="dxa"/>
              <w:left w:w="80" w:type="dxa"/>
              <w:bottom w:w="80" w:type="dxa"/>
              <w:right w:w="80" w:type="dxa"/>
            </w:tcMar>
          </w:tcPr>
          <w:p w14:paraId="6F701FAC" w14:textId="77777777" w:rsidR="00D206D8" w:rsidRDefault="008C0520">
            <w:r>
              <w:rPr>
                <w:sz w:val="20"/>
              </w:rPr>
              <w:t>Snapshot – Standards &amp; Guidelines cover… “transport”</w:t>
            </w:r>
            <w:r>
              <w:rPr>
                <w:sz w:val="20"/>
              </w:rPr>
              <w:br/>
              <w:t>Current text: “...covering varying aspects of livestock welfare including housing, nutrition, health, and transport…”</w:t>
            </w:r>
          </w:p>
        </w:tc>
        <w:tc>
          <w:tcPr>
            <w:tcW w:w="2256" w:type="dxa"/>
            <w:tcMar>
              <w:top w:w="80" w:type="dxa"/>
              <w:left w:w="80" w:type="dxa"/>
              <w:bottom w:w="80" w:type="dxa"/>
              <w:right w:w="80" w:type="dxa"/>
            </w:tcMar>
          </w:tcPr>
          <w:p w14:paraId="3B7C08F0" w14:textId="77777777" w:rsidR="00D206D8" w:rsidRDefault="008C0520">
            <w:r>
              <w:rPr>
                <w:sz w:val="20"/>
              </w:rPr>
              <w:t>Refers to transport but does not name the relevant transport instrument, leaving ambiguity for broad audiences.</w:t>
            </w:r>
          </w:p>
        </w:tc>
        <w:tc>
          <w:tcPr>
            <w:tcW w:w="2256" w:type="dxa"/>
            <w:tcMar>
              <w:top w:w="80" w:type="dxa"/>
              <w:left w:w="80" w:type="dxa"/>
              <w:bottom w:w="80" w:type="dxa"/>
              <w:right w:w="80" w:type="dxa"/>
            </w:tcMar>
          </w:tcPr>
          <w:p w14:paraId="206FB7FB" w14:textId="77777777" w:rsidR="00D206D8" w:rsidRDefault="008C0520">
            <w:r>
              <w:rPr>
                <w:sz w:val="20"/>
              </w:rPr>
              <w:t>Insert</w:t>
            </w:r>
          </w:p>
        </w:tc>
        <w:tc>
          <w:tcPr>
            <w:tcW w:w="2256" w:type="dxa"/>
            <w:tcMar>
              <w:top w:w="80" w:type="dxa"/>
              <w:left w:w="80" w:type="dxa"/>
              <w:bottom w:w="80" w:type="dxa"/>
              <w:right w:w="80" w:type="dxa"/>
            </w:tcMar>
          </w:tcPr>
          <w:p w14:paraId="78F1D506" w14:textId="77777777" w:rsidR="00D206D8" w:rsidRDefault="008C0520">
            <w:r>
              <w:rPr>
                <w:sz w:val="20"/>
              </w:rPr>
              <w:t>Add a parenthetical after “transport”:</w:t>
            </w:r>
            <w:r>
              <w:rPr>
                <w:sz w:val="20"/>
              </w:rPr>
              <w:br/>
              <w:t>“(including through the Australian Animal Welfare Standards and Guidelines – Land Transport of Livestock)”.</w:t>
            </w:r>
            <w:r>
              <w:rPr>
                <w:sz w:val="20"/>
              </w:rPr>
              <w:br/>
            </w:r>
            <w:r>
              <w:rPr>
                <w:sz w:val="20"/>
              </w:rPr>
              <w:br/>
              <w:t>(If preferred, use “Land Transport Standards” after first full reference.)</w:t>
            </w:r>
          </w:p>
        </w:tc>
      </w:tr>
      <w:tr w:rsidR="00D206D8" w14:paraId="0ECAF673" w14:textId="77777777">
        <w:tc>
          <w:tcPr>
            <w:tcW w:w="2256" w:type="dxa"/>
            <w:tcMar>
              <w:top w:w="80" w:type="dxa"/>
              <w:left w:w="80" w:type="dxa"/>
              <w:bottom w:w="80" w:type="dxa"/>
              <w:right w:w="80" w:type="dxa"/>
            </w:tcMar>
          </w:tcPr>
          <w:p w14:paraId="6781EDF9" w14:textId="77777777" w:rsidR="00D206D8" w:rsidRDefault="008C0520">
            <w:r>
              <w:rPr>
                <w:sz w:val="20"/>
              </w:rPr>
              <w:t>Snapshot – Industry-led initiatives</w:t>
            </w:r>
            <w:r>
              <w:rPr>
                <w:sz w:val="20"/>
              </w:rPr>
              <w:br/>
              <w:t xml:space="preserve">Current text: “quality assurance schemes, certification programs and sustainability frameworks… expanding </w:t>
            </w:r>
            <w:r>
              <w:rPr>
                <w:sz w:val="20"/>
              </w:rPr>
              <w:lastRenderedPageBreak/>
              <w:t>their adoption… should be encouraged.”</w:t>
            </w:r>
          </w:p>
        </w:tc>
        <w:tc>
          <w:tcPr>
            <w:tcW w:w="2256" w:type="dxa"/>
            <w:tcMar>
              <w:top w:w="80" w:type="dxa"/>
              <w:left w:w="80" w:type="dxa"/>
              <w:bottom w:w="80" w:type="dxa"/>
              <w:right w:w="80" w:type="dxa"/>
            </w:tcMar>
          </w:tcPr>
          <w:p w14:paraId="7E934730" w14:textId="77777777" w:rsidR="00D206D8" w:rsidRDefault="008C0520">
            <w:r>
              <w:rPr>
                <w:sz w:val="20"/>
              </w:rPr>
              <w:lastRenderedPageBreak/>
              <w:t>Encouraging expanded adoption can be read as endorsing new mandatory expectations for transport operators through assurance frameworks unless scoped.</w:t>
            </w:r>
          </w:p>
        </w:tc>
        <w:tc>
          <w:tcPr>
            <w:tcW w:w="2256" w:type="dxa"/>
            <w:tcMar>
              <w:top w:w="80" w:type="dxa"/>
              <w:left w:w="80" w:type="dxa"/>
              <w:bottom w:w="80" w:type="dxa"/>
              <w:right w:w="80" w:type="dxa"/>
            </w:tcMar>
          </w:tcPr>
          <w:p w14:paraId="731F058E" w14:textId="77777777" w:rsidR="00D206D8" w:rsidRDefault="008C0520">
            <w:r>
              <w:rPr>
                <w:sz w:val="20"/>
              </w:rPr>
              <w:t>Insert</w:t>
            </w:r>
          </w:p>
        </w:tc>
        <w:tc>
          <w:tcPr>
            <w:tcW w:w="2256" w:type="dxa"/>
            <w:tcMar>
              <w:top w:w="80" w:type="dxa"/>
              <w:left w:w="80" w:type="dxa"/>
              <w:bottom w:w="80" w:type="dxa"/>
              <w:right w:w="80" w:type="dxa"/>
            </w:tcMar>
          </w:tcPr>
          <w:p w14:paraId="08250204" w14:textId="77777777" w:rsidR="00D206D8" w:rsidRDefault="008C0520">
            <w:r>
              <w:rPr>
                <w:sz w:val="20"/>
              </w:rPr>
              <w:t>Insert one sentence after the encouragement statement:</w:t>
            </w:r>
            <w:r>
              <w:rPr>
                <w:sz w:val="20"/>
              </w:rPr>
              <w:br/>
              <w:t xml:space="preserve">“Where such initiatives affect livestock transport, they should remain voluntary, be proportionate and scalable (including for SMEs), and </w:t>
            </w:r>
            <w:r>
              <w:rPr>
                <w:sz w:val="20"/>
              </w:rPr>
              <w:lastRenderedPageBreak/>
              <w:t>avoid duplicating or re-creating transport compliance requirements already addressed under the Land Transport Standards.”</w:t>
            </w:r>
          </w:p>
        </w:tc>
      </w:tr>
      <w:tr w:rsidR="00D206D8" w14:paraId="144AA7ED" w14:textId="77777777">
        <w:tc>
          <w:tcPr>
            <w:tcW w:w="2256" w:type="dxa"/>
            <w:tcMar>
              <w:top w:w="80" w:type="dxa"/>
              <w:left w:w="80" w:type="dxa"/>
              <w:bottom w:w="80" w:type="dxa"/>
              <w:right w:w="80" w:type="dxa"/>
            </w:tcMar>
          </w:tcPr>
          <w:p w14:paraId="1B5D4696" w14:textId="77777777" w:rsidR="00D206D8" w:rsidRDefault="008C0520">
            <w:r>
              <w:rPr>
                <w:sz w:val="20"/>
              </w:rPr>
              <w:lastRenderedPageBreak/>
              <w:t>Researchers section</w:t>
            </w:r>
            <w:r>
              <w:rPr>
                <w:sz w:val="20"/>
              </w:rPr>
              <w:br/>
              <w:t>Current text: “Research institutions and Regional Development Corporations (RDCs)…”</w:t>
            </w:r>
          </w:p>
        </w:tc>
        <w:tc>
          <w:tcPr>
            <w:tcW w:w="2256" w:type="dxa"/>
            <w:tcMar>
              <w:top w:w="80" w:type="dxa"/>
              <w:left w:w="80" w:type="dxa"/>
              <w:bottom w:w="80" w:type="dxa"/>
              <w:right w:w="80" w:type="dxa"/>
            </w:tcMar>
          </w:tcPr>
          <w:p w14:paraId="6469B3CB" w14:textId="77777777" w:rsidR="00D206D8" w:rsidRDefault="008C0520">
            <w:r>
              <w:rPr>
                <w:sz w:val="20"/>
              </w:rPr>
              <w:t>Terminology appears incorrect and affects credibility.</w:t>
            </w:r>
          </w:p>
        </w:tc>
        <w:tc>
          <w:tcPr>
            <w:tcW w:w="2256" w:type="dxa"/>
            <w:tcMar>
              <w:top w:w="80" w:type="dxa"/>
              <w:left w:w="80" w:type="dxa"/>
              <w:bottom w:w="80" w:type="dxa"/>
              <w:right w:w="80" w:type="dxa"/>
            </w:tcMar>
          </w:tcPr>
          <w:p w14:paraId="462361A4" w14:textId="77777777" w:rsidR="00D206D8" w:rsidRDefault="008C0520">
            <w:r>
              <w:rPr>
                <w:sz w:val="20"/>
              </w:rPr>
              <w:t>Replace</w:t>
            </w:r>
          </w:p>
        </w:tc>
        <w:tc>
          <w:tcPr>
            <w:tcW w:w="2256" w:type="dxa"/>
            <w:tcMar>
              <w:top w:w="80" w:type="dxa"/>
              <w:left w:w="80" w:type="dxa"/>
              <w:bottom w:w="80" w:type="dxa"/>
              <w:right w:w="80" w:type="dxa"/>
            </w:tcMar>
          </w:tcPr>
          <w:p w14:paraId="5665A3D3" w14:textId="5D55062D" w:rsidR="00D206D8" w:rsidRDefault="00CC4AB4">
            <w:r w:rsidRPr="00CC4AB4">
              <w:rPr>
                <w:sz w:val="20"/>
              </w:rPr>
              <w:t>Replace “Regional Development Corporations (RDCs)” with “Rural Research and Development Corporations</w:t>
            </w:r>
            <w:r w:rsidR="008C7CE9">
              <w:rPr>
                <w:sz w:val="20"/>
              </w:rPr>
              <w:t xml:space="preserve"> (RDCs)</w:t>
            </w:r>
            <w:r w:rsidRPr="00CC4AB4">
              <w:rPr>
                <w:sz w:val="20"/>
              </w:rPr>
              <w:t>”</w:t>
            </w:r>
          </w:p>
        </w:tc>
      </w:tr>
      <w:tr w:rsidR="00D206D8" w14:paraId="34AC8F1B" w14:textId="77777777">
        <w:tc>
          <w:tcPr>
            <w:tcW w:w="2256" w:type="dxa"/>
            <w:tcMar>
              <w:top w:w="80" w:type="dxa"/>
              <w:left w:w="80" w:type="dxa"/>
              <w:bottom w:w="80" w:type="dxa"/>
              <w:right w:w="80" w:type="dxa"/>
            </w:tcMar>
          </w:tcPr>
          <w:p w14:paraId="0F18F383" w14:textId="77777777" w:rsidR="00D206D8" w:rsidRDefault="008C0520">
            <w:r>
              <w:rPr>
                <w:sz w:val="20"/>
              </w:rPr>
              <w:t>Snapshot – processing/export statistics</w:t>
            </w:r>
            <w:r>
              <w:rPr>
                <w:sz w:val="20"/>
              </w:rPr>
              <w:br/>
              <w:t>Current text: “…products produced shipped overseas…” and placeholder citations “[refs 1,2]”.</w:t>
            </w:r>
          </w:p>
        </w:tc>
        <w:tc>
          <w:tcPr>
            <w:tcW w:w="2256" w:type="dxa"/>
            <w:tcMar>
              <w:top w:w="80" w:type="dxa"/>
              <w:left w:w="80" w:type="dxa"/>
              <w:bottom w:w="80" w:type="dxa"/>
              <w:right w:w="80" w:type="dxa"/>
            </w:tcMar>
          </w:tcPr>
          <w:p w14:paraId="4B4295D9" w14:textId="77777777" w:rsidR="00D206D8" w:rsidRDefault="008C0520">
            <w:r>
              <w:rPr>
                <w:sz w:val="20"/>
              </w:rPr>
              <w:t>Drafting errors and placeholder references reduce clarity and credibility for a broad audience.</w:t>
            </w:r>
          </w:p>
        </w:tc>
        <w:tc>
          <w:tcPr>
            <w:tcW w:w="2256" w:type="dxa"/>
            <w:tcMar>
              <w:top w:w="80" w:type="dxa"/>
              <w:left w:w="80" w:type="dxa"/>
              <w:bottom w:w="80" w:type="dxa"/>
              <w:right w:w="80" w:type="dxa"/>
            </w:tcMar>
          </w:tcPr>
          <w:p w14:paraId="547B7495" w14:textId="77777777" w:rsidR="00D206D8" w:rsidRDefault="008C0520">
            <w:r>
              <w:rPr>
                <w:sz w:val="20"/>
              </w:rPr>
              <w:t>Replace</w:t>
            </w:r>
          </w:p>
        </w:tc>
        <w:tc>
          <w:tcPr>
            <w:tcW w:w="2256" w:type="dxa"/>
            <w:tcMar>
              <w:top w:w="80" w:type="dxa"/>
              <w:left w:w="80" w:type="dxa"/>
              <w:bottom w:w="80" w:type="dxa"/>
              <w:right w:w="80" w:type="dxa"/>
            </w:tcMar>
          </w:tcPr>
          <w:p w14:paraId="1F344E4C" w14:textId="5DAB335E" w:rsidR="00D206D8" w:rsidRDefault="008C0520">
            <w:r>
              <w:rPr>
                <w:sz w:val="20"/>
              </w:rPr>
              <w:t>Replace “produced shipped overseas” with “exported”.</w:t>
            </w:r>
            <w:r>
              <w:rPr>
                <w:sz w:val="20"/>
              </w:rPr>
              <w:br/>
              <w:t xml:space="preserve">Replace “[refs 1,2]” with final sources (or remove the placeholder until </w:t>
            </w:r>
            <w:proofErr w:type="spellStart"/>
            <w:r>
              <w:rPr>
                <w:sz w:val="20"/>
              </w:rPr>
              <w:t>finalised</w:t>
            </w:r>
            <w:proofErr w:type="spellEnd"/>
            <w:r>
              <w:rPr>
                <w:sz w:val="20"/>
              </w:rPr>
              <w:t>).</w:t>
            </w:r>
          </w:p>
        </w:tc>
      </w:tr>
      <w:tr w:rsidR="00D206D8" w14:paraId="6167C1E5" w14:textId="77777777">
        <w:tc>
          <w:tcPr>
            <w:tcW w:w="2256" w:type="dxa"/>
            <w:tcMar>
              <w:top w:w="80" w:type="dxa"/>
              <w:left w:w="80" w:type="dxa"/>
              <w:bottom w:w="80" w:type="dxa"/>
              <w:right w:w="80" w:type="dxa"/>
            </w:tcMar>
          </w:tcPr>
          <w:p w14:paraId="5AFABBF3" w14:textId="77777777" w:rsidR="00D206D8" w:rsidRDefault="008C0520">
            <w:r>
              <w:rPr>
                <w:sz w:val="20"/>
              </w:rPr>
              <w:t>Snapshot – responsibilities sentence</w:t>
            </w:r>
            <w:r>
              <w:rPr>
                <w:sz w:val="20"/>
              </w:rPr>
              <w:br/>
              <w:t>Current text: “Responsibilities for livestock animal welfare shared among several stakeholders.”</w:t>
            </w:r>
          </w:p>
        </w:tc>
        <w:tc>
          <w:tcPr>
            <w:tcW w:w="2256" w:type="dxa"/>
            <w:tcMar>
              <w:top w:w="80" w:type="dxa"/>
              <w:left w:w="80" w:type="dxa"/>
              <w:bottom w:w="80" w:type="dxa"/>
              <w:right w:w="80" w:type="dxa"/>
            </w:tcMar>
          </w:tcPr>
          <w:p w14:paraId="60093B82" w14:textId="77777777" w:rsidR="00D206D8" w:rsidRDefault="008C0520">
            <w:r>
              <w:rPr>
                <w:sz w:val="20"/>
              </w:rPr>
              <w:t>Missing verb reduces clarity.</w:t>
            </w:r>
          </w:p>
        </w:tc>
        <w:tc>
          <w:tcPr>
            <w:tcW w:w="2256" w:type="dxa"/>
            <w:tcMar>
              <w:top w:w="80" w:type="dxa"/>
              <w:left w:w="80" w:type="dxa"/>
              <w:bottom w:w="80" w:type="dxa"/>
              <w:right w:w="80" w:type="dxa"/>
            </w:tcMar>
          </w:tcPr>
          <w:p w14:paraId="5D3CC916" w14:textId="77777777" w:rsidR="00D206D8" w:rsidRDefault="008C0520">
            <w:r>
              <w:rPr>
                <w:sz w:val="20"/>
              </w:rPr>
              <w:t>Replace</w:t>
            </w:r>
          </w:p>
        </w:tc>
        <w:tc>
          <w:tcPr>
            <w:tcW w:w="2256" w:type="dxa"/>
            <w:tcMar>
              <w:top w:w="80" w:type="dxa"/>
              <w:left w:w="80" w:type="dxa"/>
              <w:bottom w:w="80" w:type="dxa"/>
              <w:right w:w="80" w:type="dxa"/>
            </w:tcMar>
          </w:tcPr>
          <w:p w14:paraId="7FFB292E" w14:textId="77777777" w:rsidR="00D206D8" w:rsidRDefault="008C0520">
            <w:r>
              <w:rPr>
                <w:sz w:val="20"/>
              </w:rPr>
              <w:t>Replace with:</w:t>
            </w:r>
            <w:r>
              <w:rPr>
                <w:sz w:val="20"/>
              </w:rPr>
              <w:br/>
              <w:t>“Responsibilities for livestock animal welfare are shared among several stakeholders.”</w:t>
            </w:r>
          </w:p>
        </w:tc>
      </w:tr>
      <w:tr w:rsidR="00D206D8" w14:paraId="2707C3A6" w14:textId="77777777">
        <w:tc>
          <w:tcPr>
            <w:tcW w:w="2256" w:type="dxa"/>
            <w:tcMar>
              <w:top w:w="80" w:type="dxa"/>
              <w:left w:w="80" w:type="dxa"/>
              <w:bottom w:w="80" w:type="dxa"/>
              <w:right w:w="80" w:type="dxa"/>
            </w:tcMar>
          </w:tcPr>
          <w:p w14:paraId="64865584" w14:textId="77777777" w:rsidR="00D206D8" w:rsidRDefault="008C0520">
            <w:r>
              <w:rPr>
                <w:sz w:val="20"/>
              </w:rPr>
              <w:t>Emerging technologies paragraph</w:t>
            </w:r>
            <w:r>
              <w:rPr>
                <w:sz w:val="20"/>
              </w:rPr>
              <w:br/>
              <w:t>Current text: “…offer potential to remotely assess… in real time offer opportunities…” and “…support to long-term business viability.”</w:t>
            </w:r>
          </w:p>
        </w:tc>
        <w:tc>
          <w:tcPr>
            <w:tcW w:w="2256" w:type="dxa"/>
            <w:tcMar>
              <w:top w:w="80" w:type="dxa"/>
              <w:left w:w="80" w:type="dxa"/>
              <w:bottom w:w="80" w:type="dxa"/>
              <w:right w:w="80" w:type="dxa"/>
            </w:tcMar>
          </w:tcPr>
          <w:p w14:paraId="108B954D" w14:textId="77777777" w:rsidR="00D206D8" w:rsidRDefault="008C0520">
            <w:r>
              <w:rPr>
                <w:sz w:val="20"/>
              </w:rPr>
              <w:t>Duplicated wording and grammar issues reduce readability/credibility.</w:t>
            </w:r>
          </w:p>
        </w:tc>
        <w:tc>
          <w:tcPr>
            <w:tcW w:w="2256" w:type="dxa"/>
            <w:tcMar>
              <w:top w:w="80" w:type="dxa"/>
              <w:left w:w="80" w:type="dxa"/>
              <w:bottom w:w="80" w:type="dxa"/>
              <w:right w:w="80" w:type="dxa"/>
            </w:tcMar>
          </w:tcPr>
          <w:p w14:paraId="55EB7779" w14:textId="77777777" w:rsidR="00D206D8" w:rsidRDefault="008C0520">
            <w:r>
              <w:rPr>
                <w:sz w:val="20"/>
              </w:rPr>
              <w:t>Replace</w:t>
            </w:r>
          </w:p>
        </w:tc>
        <w:tc>
          <w:tcPr>
            <w:tcW w:w="2256" w:type="dxa"/>
            <w:tcMar>
              <w:top w:w="80" w:type="dxa"/>
              <w:left w:w="80" w:type="dxa"/>
              <w:bottom w:w="80" w:type="dxa"/>
              <w:right w:w="80" w:type="dxa"/>
            </w:tcMar>
          </w:tcPr>
          <w:p w14:paraId="45534841" w14:textId="77777777" w:rsidR="00D206D8" w:rsidRDefault="008C0520">
            <w:r>
              <w:rPr>
                <w:sz w:val="20"/>
              </w:rPr>
              <w:t>Replace with:</w:t>
            </w:r>
            <w:r>
              <w:rPr>
                <w:sz w:val="20"/>
              </w:rPr>
              <w:br/>
              <w:t>“Among other priorities, emerging technologies such as AI-enabled monitoring, sensor systems and automation offer potential to remotely assess animal health and welfare in real time and advance welfare outcomes. Similarly, ongoing innovation and adoption of emerging science will be needed to address the challenges climate change will create for livestock welfare and farm productivity, supporting long-term business viability.”</w:t>
            </w:r>
          </w:p>
        </w:tc>
      </w:tr>
      <w:tr w:rsidR="00D206D8" w14:paraId="09A14FEC" w14:textId="77777777">
        <w:tc>
          <w:tcPr>
            <w:tcW w:w="2256" w:type="dxa"/>
            <w:tcMar>
              <w:top w:w="80" w:type="dxa"/>
              <w:left w:w="80" w:type="dxa"/>
              <w:bottom w:w="80" w:type="dxa"/>
              <w:right w:w="80" w:type="dxa"/>
            </w:tcMar>
          </w:tcPr>
          <w:p w14:paraId="6FE98F91" w14:textId="77777777" w:rsidR="00D206D8" w:rsidRDefault="008C0520">
            <w:r>
              <w:rPr>
                <w:sz w:val="20"/>
              </w:rPr>
              <w:lastRenderedPageBreak/>
              <w:t>Case study boxes (</w:t>
            </w:r>
            <w:proofErr w:type="spellStart"/>
            <w:r>
              <w:rPr>
                <w:sz w:val="20"/>
              </w:rPr>
              <w:t>Calfways</w:t>
            </w:r>
            <w:proofErr w:type="spellEnd"/>
            <w:r>
              <w:rPr>
                <w:sz w:val="20"/>
              </w:rPr>
              <w:t xml:space="preserve"> / Polled Beef / ACIAR)</w:t>
            </w:r>
            <w:r>
              <w:rPr>
                <w:sz w:val="20"/>
              </w:rPr>
              <w:br/>
              <w:t>Current draft appears to duplicate each case study block.</w:t>
            </w:r>
          </w:p>
        </w:tc>
        <w:tc>
          <w:tcPr>
            <w:tcW w:w="2256" w:type="dxa"/>
            <w:tcMar>
              <w:top w:w="80" w:type="dxa"/>
              <w:left w:w="80" w:type="dxa"/>
              <w:bottom w:w="80" w:type="dxa"/>
              <w:right w:w="80" w:type="dxa"/>
            </w:tcMar>
          </w:tcPr>
          <w:p w14:paraId="6E35ACD4" w14:textId="77777777" w:rsidR="00D206D8" w:rsidRDefault="008C0520">
            <w:r>
              <w:rPr>
                <w:sz w:val="20"/>
              </w:rPr>
              <w:t>Likely editing artefact; duplication reduces credibility and readability.</w:t>
            </w:r>
          </w:p>
        </w:tc>
        <w:tc>
          <w:tcPr>
            <w:tcW w:w="2256" w:type="dxa"/>
            <w:tcMar>
              <w:top w:w="80" w:type="dxa"/>
              <w:left w:w="80" w:type="dxa"/>
              <w:bottom w:w="80" w:type="dxa"/>
              <w:right w:w="80" w:type="dxa"/>
            </w:tcMar>
          </w:tcPr>
          <w:p w14:paraId="1C34244C" w14:textId="77777777" w:rsidR="00D206D8" w:rsidRDefault="008C0520">
            <w:r>
              <w:rPr>
                <w:sz w:val="20"/>
              </w:rPr>
              <w:t>Delete</w:t>
            </w:r>
          </w:p>
        </w:tc>
        <w:tc>
          <w:tcPr>
            <w:tcW w:w="2256" w:type="dxa"/>
            <w:tcMar>
              <w:top w:w="80" w:type="dxa"/>
              <w:left w:w="80" w:type="dxa"/>
              <w:bottom w:w="80" w:type="dxa"/>
              <w:right w:w="80" w:type="dxa"/>
            </w:tcMar>
          </w:tcPr>
          <w:p w14:paraId="17614503" w14:textId="77777777" w:rsidR="00D206D8" w:rsidRDefault="008C0520">
            <w:r>
              <w:rPr>
                <w:sz w:val="20"/>
              </w:rPr>
              <w:t>Remove duplicate case study headers and text so each case study appears once.</w:t>
            </w:r>
          </w:p>
        </w:tc>
      </w:tr>
    </w:tbl>
    <w:p w14:paraId="0C83BD52" w14:textId="77777777" w:rsidR="00B36774" w:rsidRDefault="00B36774" w:rsidP="00B36774">
      <w:pPr>
        <w:pStyle w:val="Heading1"/>
        <w:rPr>
          <w:lang w:val="en-AU"/>
        </w:rPr>
      </w:pPr>
      <w:r>
        <w:rPr>
          <w:lang w:val="en-AU"/>
        </w:rPr>
        <w:t>Opportunities</w:t>
      </w:r>
    </w:p>
    <w:p w14:paraId="3502A930" w14:textId="77777777" w:rsidR="00A30915" w:rsidRDefault="00A30915" w:rsidP="00A30915">
      <w:pPr>
        <w:rPr>
          <w:rStyle w:val="Heading2Char"/>
          <w:lang w:val="en-AU"/>
        </w:rPr>
      </w:pPr>
      <w:r w:rsidRPr="00A30915">
        <w:rPr>
          <w:rFonts w:eastAsiaTheme="majorEastAsia"/>
        </w:rPr>
        <w:t>ALRTA supports the draft’s proposed opportunities, subject to the guardrails set out in the table to avoid unintended flow-on obligations for transport.</w:t>
      </w:r>
    </w:p>
    <w:p w14:paraId="42216B55" w14:textId="77777777" w:rsidR="00D206D8" w:rsidRDefault="008C0520" w:rsidP="008C0520">
      <w:pPr>
        <w:pStyle w:val="ListBullet"/>
        <w:numPr>
          <w:ilvl w:val="0"/>
          <w:numId w:val="7"/>
        </w:numPr>
      </w:pPr>
      <w:r>
        <w:t>Consistent practice at dispatch and loading: Practical guidance aligned to the Land Transport Standards, supporting consistent decision-making and shared accountability at the interface.</w:t>
      </w:r>
    </w:p>
    <w:p w14:paraId="171F6E01" w14:textId="77777777" w:rsidR="00D206D8" w:rsidRDefault="008C0520" w:rsidP="008C0520">
      <w:pPr>
        <w:pStyle w:val="ListBullet"/>
        <w:numPr>
          <w:ilvl w:val="0"/>
          <w:numId w:val="7"/>
        </w:numPr>
      </w:pPr>
      <w:r>
        <w:t>Fit-for-journey decisions at dispatch: A clear, shared decision process using the 'fit for the intended journey' framing.</w:t>
      </w:r>
    </w:p>
    <w:p w14:paraId="2BCBD2D6" w14:textId="77777777" w:rsidR="00D206D8" w:rsidRDefault="008C0520" w:rsidP="008C0520">
      <w:pPr>
        <w:pStyle w:val="ListBullet"/>
        <w:numPr>
          <w:ilvl w:val="0"/>
          <w:numId w:val="7"/>
        </w:numPr>
      </w:pPr>
      <w:r>
        <w:t xml:space="preserve">Safe loading practices: </w:t>
      </w:r>
      <w:proofErr w:type="spellStart"/>
      <w:r>
        <w:t>Emphasise</w:t>
      </w:r>
      <w:proofErr w:type="spellEnd"/>
      <w:r>
        <w:t xml:space="preserve"> shared responsibility for safe loading (including appropriate facilities, handling and time pressures).</w:t>
      </w:r>
    </w:p>
    <w:p w14:paraId="4564379B" w14:textId="77777777" w:rsidR="00D206D8" w:rsidRDefault="008C0520" w:rsidP="008C0520">
      <w:pPr>
        <w:pStyle w:val="ListBullet"/>
        <w:numPr>
          <w:ilvl w:val="0"/>
          <w:numId w:val="7"/>
        </w:numPr>
      </w:pPr>
      <w:r>
        <w:t>Heat-risk planning and contingencies: Reinforce existing heat-risk planning requirements and clarify roles across consignor, transporter and receiver.</w:t>
      </w:r>
    </w:p>
    <w:p w14:paraId="30B6034F" w14:textId="77777777" w:rsidR="00B36774" w:rsidRPr="00B36774" w:rsidRDefault="00B36774" w:rsidP="00B36774">
      <w:pPr>
        <w:rPr>
          <w:lang w:val="en-AU"/>
        </w:rPr>
      </w:pPr>
      <w:r w:rsidRPr="00B36774">
        <w:rPr>
          <w:rStyle w:val="Heading1Char"/>
          <w:lang w:val="en-AU"/>
        </w:rPr>
        <w:t>Case study suggestions</w:t>
      </w:r>
      <w:r w:rsidRPr="00B36774">
        <w:rPr>
          <w:lang w:val="en-AU"/>
        </w:rPr>
        <w:br/>
        <w:t>ALRTA can assist with transport-focused case studies, for example:</w:t>
      </w:r>
    </w:p>
    <w:p w14:paraId="51A9CAE9" w14:textId="77777777" w:rsidR="00B36774" w:rsidRPr="00B36774" w:rsidRDefault="00B36774" w:rsidP="00B36774">
      <w:pPr>
        <w:pStyle w:val="ListBullet"/>
        <w:numPr>
          <w:ilvl w:val="0"/>
          <w:numId w:val="6"/>
        </w:numPr>
        <w:rPr>
          <w:lang w:val="en-AU"/>
        </w:rPr>
      </w:pPr>
      <w:r w:rsidRPr="00B36774">
        <w:rPr>
          <w:b/>
          <w:bCs/>
          <w:lang w:val="en-AU"/>
        </w:rPr>
        <w:t>Producer–transporter heat-risk planning:</w:t>
      </w:r>
      <w:r w:rsidRPr="00B36774">
        <w:rPr>
          <w:lang w:val="en-AU"/>
        </w:rPr>
        <w:t xml:space="preserve"> A jointly developed heat-risk plan covering journey timing, loading density, vehicle checks, monitoring frequency, escalation triggers and contingencies.</w:t>
      </w:r>
    </w:p>
    <w:p w14:paraId="79DA24FB" w14:textId="77777777" w:rsidR="00B36774" w:rsidRPr="00B36774" w:rsidRDefault="00B36774" w:rsidP="00B36774">
      <w:pPr>
        <w:pStyle w:val="ListBullet"/>
        <w:numPr>
          <w:ilvl w:val="0"/>
          <w:numId w:val="6"/>
        </w:numPr>
        <w:rPr>
          <w:lang w:val="en-AU"/>
        </w:rPr>
      </w:pPr>
      <w:r w:rsidRPr="00B36774">
        <w:rPr>
          <w:b/>
          <w:bCs/>
          <w:lang w:val="en-AU"/>
        </w:rPr>
        <w:t>Fit-for-journey at dispatch:</w:t>
      </w:r>
      <w:r w:rsidRPr="00B36774">
        <w:rPr>
          <w:lang w:val="en-AU"/>
        </w:rPr>
        <w:t xml:space="preserve"> A documented decision process at a saleyard/dispatch point showing role allocation, escalation pathways, and how animals assessed as not fit to load are managed.</w:t>
      </w:r>
    </w:p>
    <w:p w14:paraId="40C9B74E" w14:textId="77777777" w:rsidR="00B36774" w:rsidRPr="00B36774" w:rsidRDefault="00B36774" w:rsidP="00B36774">
      <w:pPr>
        <w:pStyle w:val="ListBullet"/>
        <w:numPr>
          <w:ilvl w:val="0"/>
          <w:numId w:val="6"/>
        </w:numPr>
        <w:rPr>
          <w:lang w:val="en-AU"/>
        </w:rPr>
      </w:pPr>
      <w:r w:rsidRPr="00B36774">
        <w:rPr>
          <w:b/>
          <w:bCs/>
          <w:lang w:val="en-AU"/>
        </w:rPr>
        <w:t>Technology and communications in transit:</w:t>
      </w:r>
      <w:r w:rsidRPr="00B36774">
        <w:rPr>
          <w:lang w:val="en-AU"/>
        </w:rPr>
        <w:t xml:space="preserve"> Monitoring and communication protocols to support welfare during delays and changing conditions.</w:t>
      </w:r>
    </w:p>
    <w:p w14:paraId="158A0A93" w14:textId="77777777" w:rsidR="001E50AB" w:rsidRDefault="00B36774" w:rsidP="001E50AB">
      <w:r w:rsidRPr="00B36774">
        <w:rPr>
          <w:rStyle w:val="Heading1Char"/>
        </w:rPr>
        <w:t>Closing</w:t>
      </w:r>
      <w:r w:rsidRPr="00B36774">
        <w:br/>
        <w:t>ALRTA supports the objectives of the Livestock and Production Chapter. The amendments proposed above are intended to improve accuracy and avoid unintended consequences for livestock transport.</w:t>
      </w:r>
    </w:p>
    <w:sectPr w:rsidR="001E50A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65F6" w14:textId="77777777" w:rsidR="003113BE" w:rsidRDefault="003113BE" w:rsidP="009929E7">
      <w:pPr>
        <w:spacing w:after="0" w:line="240" w:lineRule="auto"/>
      </w:pPr>
      <w:r>
        <w:separator/>
      </w:r>
    </w:p>
  </w:endnote>
  <w:endnote w:type="continuationSeparator" w:id="0">
    <w:p w14:paraId="4E9DDED7" w14:textId="77777777" w:rsidR="003113BE" w:rsidRDefault="003113BE" w:rsidP="00992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3F52" w14:textId="77777777" w:rsidR="003113BE" w:rsidRDefault="003113BE" w:rsidP="009929E7">
      <w:pPr>
        <w:spacing w:after="0" w:line="240" w:lineRule="auto"/>
      </w:pPr>
      <w:r>
        <w:separator/>
      </w:r>
    </w:p>
  </w:footnote>
  <w:footnote w:type="continuationSeparator" w:id="0">
    <w:p w14:paraId="288370DC" w14:textId="77777777" w:rsidR="003113BE" w:rsidRDefault="003113BE" w:rsidP="00992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D6A9" w14:textId="77777777" w:rsidR="009929E7" w:rsidRDefault="009929E7">
    <w:pPr>
      <w:pStyle w:val="Header"/>
    </w:pPr>
    <w:r w:rsidRPr="003C5DB3">
      <w:rPr>
        <w:noProof/>
        <w:color w:val="4EA72E" w:themeColor="accent6"/>
      </w:rPr>
      <w:drawing>
        <wp:anchor distT="0" distB="0" distL="114300" distR="114300" simplePos="0" relativeHeight="251659264" behindDoc="0" locked="0" layoutInCell="1" allowOverlap="1" wp14:anchorId="2E4E3992" wp14:editId="0A03714E">
          <wp:simplePos x="0" y="0"/>
          <wp:positionH relativeFrom="margin">
            <wp:align>right</wp:align>
          </wp:positionH>
          <wp:positionV relativeFrom="paragraph">
            <wp:posOffset>-337185</wp:posOffset>
          </wp:positionV>
          <wp:extent cx="1419225" cy="797560"/>
          <wp:effectExtent l="0" t="0" r="9525" b="2540"/>
          <wp:wrapSquare wrapText="bothSides"/>
          <wp:docPr id="447494879"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99859" name="Picture 2" descr="A green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19225" cy="797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0481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A5F7F"/>
    <w:multiLevelType w:val="hybridMultilevel"/>
    <w:tmpl w:val="7E18F7C4"/>
    <w:lvl w:ilvl="0" w:tplc="A52C1DA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254D37"/>
    <w:multiLevelType w:val="hybridMultilevel"/>
    <w:tmpl w:val="08EC8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6432F5"/>
    <w:multiLevelType w:val="hybridMultilevel"/>
    <w:tmpl w:val="558A2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477E79"/>
    <w:multiLevelType w:val="multilevel"/>
    <w:tmpl w:val="8EBA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2B0892"/>
    <w:multiLevelType w:val="hybridMultilevel"/>
    <w:tmpl w:val="FB9C1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B10B81"/>
    <w:multiLevelType w:val="multilevel"/>
    <w:tmpl w:val="8EBA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79553">
    <w:abstractNumId w:val="0"/>
  </w:num>
  <w:num w:numId="2" w16cid:durableId="126506717">
    <w:abstractNumId w:val="2"/>
  </w:num>
  <w:num w:numId="3" w16cid:durableId="1310789120">
    <w:abstractNumId w:val="1"/>
  </w:num>
  <w:num w:numId="4" w16cid:durableId="1910650504">
    <w:abstractNumId w:val="5"/>
  </w:num>
  <w:num w:numId="5" w16cid:durableId="204947572">
    <w:abstractNumId w:val="6"/>
  </w:num>
  <w:num w:numId="6" w16cid:durableId="905723838">
    <w:abstractNumId w:val="4"/>
  </w:num>
  <w:num w:numId="7" w16cid:durableId="1910336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AB"/>
    <w:rsid w:val="00001BC4"/>
    <w:rsid w:val="00025CC8"/>
    <w:rsid w:val="0005539F"/>
    <w:rsid w:val="000A2FB2"/>
    <w:rsid w:val="001269B6"/>
    <w:rsid w:val="001E50AB"/>
    <w:rsid w:val="002404CC"/>
    <w:rsid w:val="002C3BE7"/>
    <w:rsid w:val="003113BE"/>
    <w:rsid w:val="003B5EE2"/>
    <w:rsid w:val="004464BE"/>
    <w:rsid w:val="00521A63"/>
    <w:rsid w:val="005310A6"/>
    <w:rsid w:val="00585FD6"/>
    <w:rsid w:val="00627B8E"/>
    <w:rsid w:val="006B314D"/>
    <w:rsid w:val="006C7E15"/>
    <w:rsid w:val="00726C53"/>
    <w:rsid w:val="007A6C6F"/>
    <w:rsid w:val="007B02DC"/>
    <w:rsid w:val="008166A9"/>
    <w:rsid w:val="00844A9E"/>
    <w:rsid w:val="008C0520"/>
    <w:rsid w:val="008C7CE9"/>
    <w:rsid w:val="00905FE8"/>
    <w:rsid w:val="009929E7"/>
    <w:rsid w:val="00A30915"/>
    <w:rsid w:val="00B36774"/>
    <w:rsid w:val="00BE3E22"/>
    <w:rsid w:val="00CC4AB4"/>
    <w:rsid w:val="00D206D8"/>
    <w:rsid w:val="00D63034"/>
    <w:rsid w:val="00E6453C"/>
    <w:rsid w:val="00EF2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5D75"/>
  <w15:chartTrackingRefBased/>
  <w15:docId w15:val="{B6B4BAA0-729D-4CFC-AFA5-1AB8EF44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0AB"/>
    <w:pPr>
      <w:spacing w:after="200" w:line="276" w:lineRule="auto"/>
    </w:pPr>
    <w:rPr>
      <w:rFonts w:ascii="Calibri" w:eastAsiaTheme="minorEastAsia" w:hAnsi="Calibri"/>
      <w:kern w:val="0"/>
      <w:sz w:val="22"/>
      <w:szCs w:val="22"/>
      <w:lang w:val="en-US"/>
      <w14:ligatures w14:val="none"/>
    </w:rPr>
  </w:style>
  <w:style w:type="paragraph" w:styleId="Heading1">
    <w:name w:val="heading 1"/>
    <w:basedOn w:val="Normal"/>
    <w:next w:val="Normal"/>
    <w:link w:val="Heading1Char"/>
    <w:uiPriority w:val="9"/>
    <w:qFormat/>
    <w:rsid w:val="001E5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5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0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0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5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AB"/>
    <w:rPr>
      <w:rFonts w:eastAsiaTheme="majorEastAsia" w:cstheme="majorBidi"/>
      <w:color w:val="272727" w:themeColor="text1" w:themeTint="D8"/>
    </w:rPr>
  </w:style>
  <w:style w:type="paragraph" w:styleId="Title">
    <w:name w:val="Title"/>
    <w:basedOn w:val="Normal"/>
    <w:next w:val="Normal"/>
    <w:link w:val="TitleChar"/>
    <w:uiPriority w:val="10"/>
    <w:qFormat/>
    <w:rsid w:val="001E5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AB"/>
    <w:pPr>
      <w:spacing w:before="160"/>
      <w:jc w:val="center"/>
    </w:pPr>
    <w:rPr>
      <w:i/>
      <w:iCs/>
      <w:color w:val="404040" w:themeColor="text1" w:themeTint="BF"/>
    </w:rPr>
  </w:style>
  <w:style w:type="character" w:customStyle="1" w:styleId="QuoteChar">
    <w:name w:val="Quote Char"/>
    <w:basedOn w:val="DefaultParagraphFont"/>
    <w:link w:val="Quote"/>
    <w:uiPriority w:val="29"/>
    <w:rsid w:val="001E50AB"/>
    <w:rPr>
      <w:i/>
      <w:iCs/>
      <w:color w:val="404040" w:themeColor="text1" w:themeTint="BF"/>
    </w:rPr>
  </w:style>
  <w:style w:type="paragraph" w:styleId="ListParagraph">
    <w:name w:val="List Paragraph"/>
    <w:basedOn w:val="Normal"/>
    <w:uiPriority w:val="34"/>
    <w:qFormat/>
    <w:rsid w:val="001E50AB"/>
    <w:pPr>
      <w:ind w:left="720"/>
      <w:contextualSpacing/>
    </w:pPr>
  </w:style>
  <w:style w:type="character" w:styleId="IntenseEmphasis">
    <w:name w:val="Intense Emphasis"/>
    <w:basedOn w:val="DefaultParagraphFont"/>
    <w:uiPriority w:val="21"/>
    <w:qFormat/>
    <w:rsid w:val="001E50AB"/>
    <w:rPr>
      <w:i/>
      <w:iCs/>
      <w:color w:val="0F4761" w:themeColor="accent1" w:themeShade="BF"/>
    </w:rPr>
  </w:style>
  <w:style w:type="paragraph" w:styleId="IntenseQuote">
    <w:name w:val="Intense Quote"/>
    <w:basedOn w:val="Normal"/>
    <w:next w:val="Normal"/>
    <w:link w:val="IntenseQuoteChar"/>
    <w:uiPriority w:val="30"/>
    <w:qFormat/>
    <w:rsid w:val="001E5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AB"/>
    <w:rPr>
      <w:i/>
      <w:iCs/>
      <w:color w:val="0F4761" w:themeColor="accent1" w:themeShade="BF"/>
    </w:rPr>
  </w:style>
  <w:style w:type="character" w:styleId="IntenseReference">
    <w:name w:val="Intense Reference"/>
    <w:basedOn w:val="DefaultParagraphFont"/>
    <w:uiPriority w:val="32"/>
    <w:qFormat/>
    <w:rsid w:val="001E50AB"/>
    <w:rPr>
      <w:b/>
      <w:bCs/>
      <w:smallCaps/>
      <w:color w:val="0F4761" w:themeColor="accent1" w:themeShade="BF"/>
      <w:spacing w:val="5"/>
    </w:rPr>
  </w:style>
  <w:style w:type="paragraph" w:styleId="ListBullet">
    <w:name w:val="List Bullet"/>
    <w:basedOn w:val="Normal"/>
    <w:uiPriority w:val="99"/>
    <w:unhideWhenUsed/>
    <w:rsid w:val="001E50AB"/>
    <w:pPr>
      <w:numPr>
        <w:numId w:val="1"/>
      </w:numPr>
      <w:tabs>
        <w:tab w:val="clear" w:pos="360"/>
      </w:tabs>
      <w:ind w:left="0" w:firstLine="0"/>
      <w:contextualSpacing/>
    </w:pPr>
  </w:style>
  <w:style w:type="table" w:styleId="TableGrid">
    <w:name w:val="Table Grid"/>
    <w:basedOn w:val="TableNormal"/>
    <w:uiPriority w:val="59"/>
    <w:rsid w:val="001E50AB"/>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9E7"/>
    <w:rPr>
      <w:rFonts w:ascii="Calibri" w:eastAsiaTheme="minorEastAsia" w:hAnsi="Calibri"/>
      <w:kern w:val="0"/>
      <w:sz w:val="22"/>
      <w:szCs w:val="22"/>
      <w:lang w:val="en-US"/>
      <w14:ligatures w14:val="none"/>
    </w:rPr>
  </w:style>
  <w:style w:type="paragraph" w:styleId="Footer">
    <w:name w:val="footer"/>
    <w:basedOn w:val="Normal"/>
    <w:link w:val="FooterChar"/>
    <w:uiPriority w:val="99"/>
    <w:unhideWhenUsed/>
    <w:rsid w:val="00992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9E7"/>
    <w:rPr>
      <w:rFonts w:ascii="Calibri" w:eastAsiaTheme="minorEastAsia" w:hAnsi="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B8F43673D194CBBAEA74B0F69F0E4" ma:contentTypeVersion="15" ma:contentTypeDescription="Create a new document." ma:contentTypeScope="" ma:versionID="e3d150751197f8c0f4bace80a473fb91">
  <xsd:schema xmlns:xsd="http://www.w3.org/2001/XMLSchema" xmlns:xs="http://www.w3.org/2001/XMLSchema" xmlns:p="http://schemas.microsoft.com/office/2006/metadata/properties" xmlns:ns2="8fabfa4e-95c5-4661-9f65-fdc6085a38c8" xmlns:ns3="850bb3b4-7893-4acc-90f4-197d00eadef0" targetNamespace="http://schemas.microsoft.com/office/2006/metadata/properties" ma:root="true" ma:fieldsID="40534f5dbe7bb9130447b47b0ea0a57f" ns2:_="" ns3:_="">
    <xsd:import namespace="8fabfa4e-95c5-4661-9f65-fdc6085a38c8"/>
    <xsd:import namespace="850bb3b4-7893-4acc-90f4-197d00eadef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bfa4e-95c5-4661-9f65-fdc6085a38c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00671fd-965c-4b0a-8df5-4208a3153d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bb3b4-7893-4acc-90f4-197d00eadef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bd4c3c7-f88a-43ca-bf93-963f69df3159}" ma:internalName="TaxCatchAll" ma:showField="CatchAllData" ma:web="850bb3b4-7893-4acc-90f4-197d00eade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bfa4e-95c5-4661-9f65-fdc6085a38c8">
      <Terms xmlns="http://schemas.microsoft.com/office/infopath/2007/PartnerControls"/>
    </lcf76f155ced4ddcb4097134ff3c332f>
    <TaxCatchAll xmlns="850bb3b4-7893-4acc-90f4-197d00eadef0" xsi:nil="true"/>
  </documentManagement>
</p:properties>
</file>

<file path=customXml/itemProps1.xml><?xml version="1.0" encoding="utf-8"?>
<ds:datastoreItem xmlns:ds="http://schemas.openxmlformats.org/officeDocument/2006/customXml" ds:itemID="{7EDCE4F8-D91A-47D6-900D-0E3EDCC55F2B}"/>
</file>

<file path=customXml/itemProps2.xml><?xml version="1.0" encoding="utf-8"?>
<ds:datastoreItem xmlns:ds="http://schemas.openxmlformats.org/officeDocument/2006/customXml" ds:itemID="{21C25A1F-F4C5-433A-AD72-68B4DC37AD71}"/>
</file>

<file path=customXml/itemProps3.xml><?xml version="1.0" encoding="utf-8"?>
<ds:datastoreItem xmlns:ds="http://schemas.openxmlformats.org/officeDocument/2006/customXml" ds:itemID="{F85BAC5A-1F44-4F6B-BBC1-051C5F667A47}"/>
</file>

<file path=docProps/app.xml><?xml version="1.0" encoding="utf-8"?>
<Properties xmlns="http://schemas.openxmlformats.org/officeDocument/2006/extended-properties" xmlns:vt="http://schemas.openxmlformats.org/officeDocument/2006/docPropsVTypes">
  <Template>Normal</Template>
  <TotalTime>13</TotalTime>
  <Pages>6</Pages>
  <Words>1526</Words>
  <Characters>10583</Characters>
  <Application>Microsoft Office Word</Application>
  <DocSecurity>0</DocSecurity>
  <Lines>413</Lines>
  <Paragraphs>90</Paragraphs>
  <ScaleCrop>false</ScaleCrop>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Mackinnon</dc:creator>
  <cp:keywords/>
  <dc:description/>
  <cp:lastModifiedBy>Ashley Mackinnon</cp:lastModifiedBy>
  <cp:revision>20</cp:revision>
  <dcterms:created xsi:type="dcterms:W3CDTF">2026-01-29T06:10:00Z</dcterms:created>
  <dcterms:modified xsi:type="dcterms:W3CDTF">2026-01-30T00:57:00Z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0x010100ED1B8F43673D194CBBAEA74B0F69F0E4</vt:lpwstr>
  </property>
</Properties>
</file>